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Aqueduct Flood Hazard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aqueductFloodHazard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Aqueduct 3.0 introduces an updated water risk framework and new and improved indicators. It also features different hydrological sub-basins. The indicators based on a new hydrological model that now features (1) integrated water supply and demand, (2) surface water and groundwater modeling, (3) higher spatial resolution, and (4) a monthly time series that enables the provision of monthly scores for selected indicators.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Hofste, R., Kuzma, S., Walker, S., Sutanudjaja, E., Bierkens, M., Kuijper, M., Faneca Sanchez, M., Van Beek, R., Wada, Y., Galvis Rodríguez, S.,  Reig, P. (2019). Aqueduct 3.0: Updated Decision-Relevant Global Water Risk Indicators. World Resources Institute, July, 1–53. https://doi.org/10.46830/writn.18.00146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2-year flood, 5-year flood, 10-year flood, 25-year flood, 50-year flood, 100-year flood, 250-year flood, 500-year flood, 1000-year flood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2020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PCR-GLOBWB 2 using 5 × 5 arc minute spatial resolution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https://www.wri.org/data/aqueduct-floods-hazard-maps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queductFloodHazard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